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05" w:rsidRPr="00C92F6F" w:rsidRDefault="00F85D5F" w:rsidP="00581305">
      <w:pPr>
        <w:pStyle w:val="Default"/>
        <w:rPr>
          <w:szCs w:val="23"/>
          <w:lang w:val="en-US"/>
        </w:rPr>
      </w:pPr>
      <w:r>
        <w:rPr>
          <w:b/>
          <w:lang w:val="en-US"/>
        </w:rPr>
        <w:t xml:space="preserve">Daily living with the </w:t>
      </w:r>
      <w:proofErr w:type="spellStart"/>
      <w:r>
        <w:rPr>
          <w:b/>
          <w:lang w:val="en-US"/>
        </w:rPr>
        <w:t>subretinal</w:t>
      </w:r>
      <w:proofErr w:type="spellEnd"/>
      <w:r>
        <w:rPr>
          <w:b/>
          <w:lang w:val="en-US"/>
        </w:rPr>
        <w:t xml:space="preserve"> chip</w:t>
      </w:r>
      <w:bookmarkStart w:id="0" w:name="_GoBack"/>
      <w:bookmarkEnd w:id="0"/>
      <w:r w:rsidR="00581305">
        <w:rPr>
          <w:szCs w:val="23"/>
          <w:lang w:val="en-US"/>
        </w:rPr>
        <w:tab/>
      </w:r>
      <w:r w:rsidR="00581305">
        <w:rPr>
          <w:szCs w:val="23"/>
          <w:lang w:val="en-US"/>
        </w:rPr>
        <w:tab/>
      </w:r>
    </w:p>
    <w:p w:rsidR="00581305" w:rsidRDefault="00581305" w:rsidP="00581305">
      <w:pPr>
        <w:pStyle w:val="Default"/>
        <w:rPr>
          <w:b/>
          <w:szCs w:val="23"/>
          <w:lang w:val="en-US"/>
        </w:rPr>
      </w:pPr>
    </w:p>
    <w:p w:rsidR="00581305" w:rsidRPr="00042943" w:rsidRDefault="00581305" w:rsidP="00581305">
      <w:pPr>
        <w:pStyle w:val="Default"/>
        <w:rPr>
          <w:b/>
          <w:szCs w:val="23"/>
          <w:lang w:val="en-US"/>
        </w:rPr>
      </w:pPr>
    </w:p>
    <w:p w:rsidR="00581305" w:rsidRDefault="00581305" w:rsidP="00581305">
      <w:pPr>
        <w:pStyle w:val="Default"/>
        <w:jc w:val="right"/>
        <w:rPr>
          <w:szCs w:val="23"/>
          <w:lang w:val="en-US"/>
        </w:rPr>
      </w:pPr>
      <w:proofErr w:type="gramStart"/>
      <w:r w:rsidRPr="00581305">
        <w:rPr>
          <w:b/>
          <w:szCs w:val="23"/>
          <w:lang w:val="en-US"/>
        </w:rPr>
        <w:lastRenderedPageBreak/>
        <w:t xml:space="preserve">Prof. Dr. Dr. h. c. </w:t>
      </w:r>
      <w:proofErr w:type="spellStart"/>
      <w:r w:rsidRPr="00581305">
        <w:rPr>
          <w:b/>
          <w:szCs w:val="23"/>
          <w:lang w:val="en-US"/>
        </w:rPr>
        <w:t>mult</w:t>
      </w:r>
      <w:proofErr w:type="spellEnd"/>
      <w:r w:rsidRPr="00581305">
        <w:rPr>
          <w:b/>
          <w:szCs w:val="23"/>
          <w:lang w:val="en-US"/>
        </w:rPr>
        <w:t>.</w:t>
      </w:r>
      <w:proofErr w:type="gramEnd"/>
      <w:r w:rsidRPr="00581305">
        <w:rPr>
          <w:b/>
          <w:szCs w:val="23"/>
          <w:lang w:val="en-US"/>
        </w:rPr>
        <w:t xml:space="preserve"> </w:t>
      </w:r>
      <w:proofErr w:type="spellStart"/>
      <w:r w:rsidRPr="00581305">
        <w:rPr>
          <w:b/>
          <w:szCs w:val="23"/>
          <w:lang w:val="en-US"/>
        </w:rPr>
        <w:t>Eberhart</w:t>
      </w:r>
      <w:proofErr w:type="spellEnd"/>
      <w:r w:rsidRPr="00581305">
        <w:rPr>
          <w:b/>
          <w:szCs w:val="23"/>
          <w:lang w:val="en-US"/>
        </w:rPr>
        <w:t xml:space="preserve"> </w:t>
      </w:r>
      <w:proofErr w:type="spellStart"/>
      <w:r w:rsidRPr="00581305">
        <w:rPr>
          <w:b/>
          <w:szCs w:val="23"/>
          <w:lang w:val="en-US"/>
        </w:rPr>
        <w:t>Zrenner</w:t>
      </w:r>
      <w:proofErr w:type="spellEnd"/>
      <w:r w:rsidRPr="00581305">
        <w:rPr>
          <w:b/>
          <w:szCs w:val="23"/>
          <w:lang w:val="en-US"/>
        </w:rPr>
        <w:t xml:space="preserve"> </w:t>
      </w:r>
      <w:r>
        <w:rPr>
          <w:szCs w:val="23"/>
          <w:lang w:val="en-US"/>
        </w:rPr>
        <w:t>Center for Ophthalmology</w:t>
      </w:r>
    </w:p>
    <w:p w:rsidR="00581305" w:rsidRDefault="00581305" w:rsidP="00581305">
      <w:pPr>
        <w:pStyle w:val="Default"/>
        <w:jc w:val="right"/>
        <w:rPr>
          <w:szCs w:val="23"/>
          <w:lang w:val="en-US"/>
        </w:rPr>
      </w:pPr>
      <w:r w:rsidRPr="00581305">
        <w:rPr>
          <w:szCs w:val="23"/>
          <w:lang w:val="en-US"/>
        </w:rPr>
        <w:t>Ins</w:t>
      </w:r>
      <w:r>
        <w:rPr>
          <w:szCs w:val="23"/>
          <w:lang w:val="en-US"/>
        </w:rPr>
        <w:t>titute for Ophthalmic Research</w:t>
      </w:r>
    </w:p>
    <w:p w:rsidR="00581305" w:rsidRDefault="00581305" w:rsidP="00581305">
      <w:pPr>
        <w:pStyle w:val="Default"/>
        <w:jc w:val="right"/>
        <w:rPr>
          <w:szCs w:val="23"/>
          <w:lang w:val="en-US"/>
        </w:rPr>
      </w:pPr>
      <w:r>
        <w:rPr>
          <w:szCs w:val="23"/>
          <w:lang w:val="en-US"/>
        </w:rPr>
        <w:t xml:space="preserve">University of </w:t>
      </w:r>
      <w:proofErr w:type="spellStart"/>
      <w:r>
        <w:rPr>
          <w:szCs w:val="23"/>
          <w:lang w:val="en-US"/>
        </w:rPr>
        <w:t>Tuebingen</w:t>
      </w:r>
      <w:proofErr w:type="spellEnd"/>
    </w:p>
    <w:p w:rsidR="00581305" w:rsidRPr="00581305" w:rsidRDefault="00581305" w:rsidP="00581305">
      <w:pPr>
        <w:pStyle w:val="Default"/>
        <w:jc w:val="right"/>
        <w:rPr>
          <w:szCs w:val="23"/>
          <w:lang w:val="en-US"/>
        </w:rPr>
      </w:pPr>
      <w:proofErr w:type="spellStart"/>
      <w:r w:rsidRPr="00581305">
        <w:rPr>
          <w:szCs w:val="23"/>
          <w:lang w:val="en-US"/>
        </w:rPr>
        <w:t>T</w:t>
      </w:r>
      <w:r>
        <w:rPr>
          <w:szCs w:val="23"/>
          <w:lang w:val="en-US"/>
        </w:rPr>
        <w:t>ue</w:t>
      </w:r>
      <w:r w:rsidRPr="00581305">
        <w:rPr>
          <w:szCs w:val="23"/>
          <w:lang w:val="en-US"/>
        </w:rPr>
        <w:t>bingen</w:t>
      </w:r>
      <w:proofErr w:type="spellEnd"/>
      <w:r w:rsidRPr="00581305">
        <w:rPr>
          <w:szCs w:val="23"/>
          <w:lang w:val="en-US"/>
        </w:rPr>
        <w:t>, Germany</w:t>
      </w:r>
    </w:p>
    <w:p w:rsidR="00581305" w:rsidRPr="00581305" w:rsidRDefault="00581305" w:rsidP="00581305">
      <w:pPr>
        <w:pStyle w:val="Default"/>
        <w:rPr>
          <w:szCs w:val="23"/>
          <w:lang w:val="en-US"/>
        </w:rPr>
        <w:sectPr w:rsidR="00581305" w:rsidRPr="00581305" w:rsidSect="00132525">
          <w:pgSz w:w="11907" w:h="16840" w:code="9"/>
          <w:pgMar w:top="1134" w:right="1134" w:bottom="1134" w:left="1134" w:header="709" w:footer="709" w:gutter="0"/>
          <w:cols w:num="2" w:space="3"/>
          <w:docGrid w:linePitch="360"/>
        </w:sectPr>
      </w:pPr>
    </w:p>
    <w:p w:rsidR="00581305" w:rsidRPr="00581305" w:rsidRDefault="00581305" w:rsidP="00581305">
      <w:pPr>
        <w:pStyle w:val="Default"/>
        <w:rPr>
          <w:b/>
          <w:szCs w:val="23"/>
          <w:lang w:val="en-US"/>
        </w:rPr>
      </w:pPr>
    </w:p>
    <w:p w:rsidR="00581305" w:rsidRPr="00581305" w:rsidRDefault="00581305" w:rsidP="00581305">
      <w:pPr>
        <w:pStyle w:val="Default"/>
        <w:rPr>
          <w:b/>
          <w:szCs w:val="23"/>
          <w:lang w:val="en-US"/>
        </w:rPr>
      </w:pPr>
    </w:p>
    <w:p w:rsidR="00581305" w:rsidRPr="00581305" w:rsidRDefault="00581305" w:rsidP="00581305">
      <w:pPr>
        <w:pStyle w:val="Default"/>
        <w:rPr>
          <w:b/>
          <w:szCs w:val="23"/>
          <w:lang w:val="en-US"/>
        </w:rPr>
      </w:pPr>
    </w:p>
    <w:p w:rsidR="00581305" w:rsidRPr="00581305" w:rsidRDefault="00581305" w:rsidP="0058130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581305">
        <w:rPr>
          <w:rFonts w:ascii="Arial" w:hAnsi="Arial" w:cs="Arial"/>
          <w:b/>
          <w:sz w:val="24"/>
          <w:szCs w:val="24"/>
          <w:lang w:val="en-US"/>
        </w:rPr>
        <w:t>Background:</w:t>
      </w:r>
      <w:r w:rsidRPr="00581305">
        <w:rPr>
          <w:rFonts w:ascii="Arial" w:hAnsi="Arial" w:cs="Arial"/>
          <w:sz w:val="24"/>
          <w:szCs w:val="24"/>
          <w:lang w:val="en-US"/>
        </w:rPr>
        <w:t xml:space="preserve"> Since 2005 twenty nine patients have received a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subretinal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electronic implant in Tübingen, Germany, 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>after 10 years of preclinical testing</w:t>
      </w:r>
      <w:r w:rsidRPr="00581305">
        <w:rPr>
          <w:rFonts w:ascii="Arial" w:hAnsi="Arial" w:cs="Arial"/>
          <w:sz w:val="24"/>
          <w:szCs w:val="24"/>
          <w:lang w:val="en-US"/>
        </w:rPr>
        <w:t xml:space="preserve">. Results from a pilot study obtained retinitis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pigmentosa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patients (n=11) with a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wirebound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implant were recently published in Proc. R. Soc. B 278, 1489–1497, 2011 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>(</w:t>
      </w:r>
      <w:hyperlink r:id="rId5" w:history="1">
        <w:r w:rsidRPr="00581305">
          <w:rPr>
            <w:rStyle w:val="Hyperlink"/>
            <w:rFonts w:ascii="Arial" w:hAnsi="Arial" w:cs="Arial"/>
            <w:sz w:val="24"/>
            <w:szCs w:val="24"/>
            <w:lang w:val="en-US"/>
          </w:rPr>
          <w:t>http://rspb.royalsocietypublishing.org/content/early/2010/11/01/rspb.2010.1747</w:t>
        </w:r>
      </w:hyperlink>
      <w:r w:rsidRPr="00581305">
        <w:rPr>
          <w:rFonts w:ascii="Arial" w:hAnsi="Arial" w:cs="Arial"/>
          <w:color w:val="000000"/>
          <w:sz w:val="24"/>
          <w:szCs w:val="24"/>
          <w:lang w:val="en-US"/>
        </w:rPr>
        <w:t>)</w:t>
      </w:r>
      <w:r w:rsidRPr="00581305">
        <w:rPr>
          <w:rFonts w:ascii="Arial" w:hAnsi="Arial" w:cs="Arial"/>
          <w:sz w:val="24"/>
          <w:szCs w:val="24"/>
          <w:lang w:val="en-US"/>
        </w:rPr>
        <w:t xml:space="preserve">. The new implant version (IMS Alpha from Retina Implant AG, Reutlingen, Germany), applied in further 18 patients since 2010, </w:t>
      </w:r>
      <w:proofErr w:type="gramStart"/>
      <w:r w:rsidRPr="00581305">
        <w:rPr>
          <w:rFonts w:ascii="Arial" w:hAnsi="Arial" w:cs="Arial"/>
          <w:sz w:val="24"/>
          <w:szCs w:val="24"/>
          <w:lang w:val="en-US"/>
        </w:rPr>
        <w:t>is</w:t>
      </w:r>
      <w:proofErr w:type="gramEnd"/>
      <w:r w:rsidRPr="00581305">
        <w:rPr>
          <w:rFonts w:ascii="Arial" w:hAnsi="Arial" w:cs="Arial"/>
          <w:sz w:val="24"/>
          <w:szCs w:val="24"/>
          <w:lang w:val="en-US"/>
        </w:rPr>
        <w:t xml:space="preserve"> a wireless, completely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subdermal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implant with 1.500 light sensitive photodiodes, amplifiers and electrodes, placed behind the retina in the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foveal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region. </w:t>
      </w:r>
    </w:p>
    <w:p w:rsidR="00581305" w:rsidRPr="00581305" w:rsidRDefault="00581305" w:rsidP="00581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81305">
        <w:rPr>
          <w:rFonts w:ascii="Arial" w:hAnsi="Arial" w:cs="Arial"/>
          <w:b/>
          <w:color w:val="000000"/>
          <w:sz w:val="24"/>
          <w:szCs w:val="24"/>
          <w:lang w:val="en-US"/>
        </w:rPr>
        <w:t>Methods: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Each of the 1500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subfoveal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photodiodes within </w:t>
      </w:r>
      <w:proofErr w:type="gram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a</w:t>
      </w:r>
      <w:proofErr w:type="gram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11 by 11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deg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field controls an amplifier that, depending on the strength of the light, ejects currents onto bipolar cells via an electrode (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Stett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et al. Vision Research, 2000). Power and control signals are supplied by inductivity via a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subdermal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retroauricular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coil from which a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subdermal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cable leads to the eyeball. </w:t>
      </w:r>
    </w:p>
    <w:p w:rsidR="00581305" w:rsidRPr="00581305" w:rsidRDefault="00581305" w:rsidP="00581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581305" w:rsidRPr="00581305" w:rsidRDefault="00581305" w:rsidP="00581305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81305">
        <w:rPr>
          <w:rFonts w:ascii="Arial" w:hAnsi="Arial" w:cs="Arial"/>
          <w:b/>
          <w:color w:val="000000"/>
          <w:sz w:val="24"/>
          <w:szCs w:val="24"/>
          <w:lang w:val="en-US"/>
        </w:rPr>
        <w:t>Results: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 All patients of the first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monocentric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phase of the trial in Tübingen were able to perform the function tests except one where a loss of inner retina function was observed after surgery. Results in all other patients  were: light perception: 9/9, light localization: 8/9; motion recognition 5/9; grating resolution 8/9 (up to 3,3 cycles/degree);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Landolt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C rings 2/9 (up to Visual Acuity = 0,036); recognition of geometric objects 8/9; recognition of objects in table setup 8/9; Letter reading 4/9; clock hands reading 3/9; grey scale differentiation 6/9; improved outdoor mobility and activity 5/9.</w:t>
      </w:r>
    </w:p>
    <w:p w:rsidR="00581305" w:rsidRPr="00581305" w:rsidRDefault="00581305" w:rsidP="00581305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81305">
        <w:rPr>
          <w:rFonts w:ascii="Arial" w:hAnsi="Arial" w:cs="Arial"/>
          <w:color w:val="000000"/>
          <w:sz w:val="24"/>
          <w:szCs w:val="24"/>
          <w:lang w:val="en-US"/>
        </w:rPr>
        <w:t>Patients reported numerous beneficial visual experiences in daily life with regained recognition of unknown objects, recognition of facial or clothes’ characteristics, moving objects in nature and traffic, improved self-sustaining actions. Examples:</w:t>
      </w:r>
      <w:r w:rsidRPr="00581305">
        <w:rPr>
          <w:rFonts w:ascii="Arial" w:hAnsi="Arial" w:cs="Arial"/>
          <w:i/>
          <w:color w:val="000000"/>
          <w:sz w:val="24"/>
          <w:szCs w:val="24"/>
          <w:lang w:val="en-US"/>
        </w:rPr>
        <w:t xml:space="preserve"> Near vision: 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Localizing plates, cutlery and tableware in 4AFC mode, recognizing plates and their content and fruits in restaurant, facial characteristics of persons, </w:t>
      </w:r>
      <w:proofErr w:type="gram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items</w:t>
      </w:r>
      <w:proofErr w:type="gram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on working desk.</w:t>
      </w:r>
      <w:r w:rsidRPr="00581305">
        <w:rPr>
          <w:rFonts w:ascii="Arial" w:hAnsi="Arial" w:cs="Arial"/>
          <w:i/>
          <w:color w:val="000000"/>
          <w:sz w:val="24"/>
          <w:szCs w:val="24"/>
          <w:lang w:val="en-US"/>
        </w:rPr>
        <w:t xml:space="preserve"> Far vision: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Recognizing clouds; identifying the borders of cars by metallic reflections or walking along a white line; orientation along street lamps.</w:t>
      </w:r>
      <w:r w:rsidRPr="00581305">
        <w:rPr>
          <w:rFonts w:ascii="Arial" w:hAnsi="Arial" w:cs="Arial"/>
          <w:i/>
          <w:color w:val="000000"/>
          <w:sz w:val="24"/>
          <w:szCs w:val="24"/>
          <w:lang w:val="en-US"/>
        </w:rPr>
        <w:t xml:space="preserve"> Spatial resolution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: Resolving the position of clock hands, stripe patterns up to approx. 0.33 – 0.44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cpd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, reading letters 4 to 8 cm high, localization and recognition of square, round or rectangular objects presented at visual angles of 6° to 8°.</w:t>
      </w:r>
      <w:r w:rsidRPr="00581305">
        <w:rPr>
          <w:rFonts w:ascii="Arial" w:hAnsi="Arial" w:cs="Arial"/>
          <w:i/>
          <w:color w:val="000000"/>
          <w:sz w:val="24"/>
          <w:szCs w:val="24"/>
          <w:lang w:val="en-US"/>
        </w:rPr>
        <w:t xml:space="preserve"> Motion: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Seeing hand moving, recognizing walking direction of a white goose, circumvention of obstacles, seeing car lights approaching.</w:t>
      </w:r>
      <w:r w:rsidRPr="00581305">
        <w:rPr>
          <w:rFonts w:ascii="Arial" w:hAnsi="Arial" w:cs="Arial"/>
          <w:i/>
          <w:color w:val="000000"/>
          <w:sz w:val="24"/>
          <w:szCs w:val="24"/>
          <w:lang w:val="en-US"/>
        </w:rPr>
        <w:t xml:space="preserve"> Eye-hand coordination: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Pointing at objects and moving them, grasping objects.</w:t>
      </w:r>
    </w:p>
    <w:p w:rsidR="00581305" w:rsidRPr="00581305" w:rsidRDefault="00581305" w:rsidP="0058130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81305">
        <w:rPr>
          <w:rFonts w:ascii="Arial" w:hAnsi="Arial" w:cs="Arial"/>
          <w:b/>
          <w:color w:val="000000"/>
          <w:sz w:val="24"/>
          <w:szCs w:val="24"/>
          <w:lang w:val="en-US"/>
        </w:rPr>
        <w:t>Conclusions: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Careful psychophysical testing and patient daily-life reports show that the wireless Alpha-IMS implant restores useful visual abilities in blind RP-patients with visual acuity up to 20/550 (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Landolt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-C-ring).</w:t>
      </w:r>
      <w:r w:rsidRPr="00581305">
        <w:rPr>
          <w:rFonts w:ascii="Arial" w:hAnsi="Arial" w:cs="Arial"/>
          <w:sz w:val="24"/>
          <w:szCs w:val="24"/>
          <w:lang w:val="en-US"/>
        </w:rPr>
        <w:t xml:space="preserve"> There was a high variability of functional outcome among patients, mainly depending on the particular form and stage of retinal disease. Interestingly the learning period was quite short; most of the regained visual abilities were achieved within the first two weeks. Special attention is paid to the fact that </w:t>
      </w:r>
      <w:proofErr w:type="spellStart"/>
      <w:r w:rsidRPr="00581305">
        <w:rPr>
          <w:rFonts w:ascii="Arial" w:hAnsi="Arial" w:cs="Arial"/>
          <w:sz w:val="24"/>
          <w:szCs w:val="24"/>
          <w:lang w:val="en-US"/>
        </w:rPr>
        <w:t>microsaccades</w:t>
      </w:r>
      <w:proofErr w:type="spellEnd"/>
      <w:r w:rsidRPr="00581305">
        <w:rPr>
          <w:rFonts w:ascii="Arial" w:hAnsi="Arial" w:cs="Arial"/>
          <w:sz w:val="24"/>
          <w:szCs w:val="24"/>
          <w:lang w:val="en-US"/>
        </w:rPr>
        <w:t xml:space="preserve"> of the eye are important for constantly refreshing the image.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Subretinal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surgery for </w:t>
      </w:r>
      <w:r w:rsidRPr="00581305">
        <w:rPr>
          <w:rFonts w:ascii="Arial" w:hAnsi="Arial" w:cs="Arial"/>
          <w:color w:val="000000"/>
          <w:sz w:val="24"/>
          <w:szCs w:val="24"/>
          <w:lang w:val="en-US"/>
        </w:rPr>
        <w:lastRenderedPageBreak/>
        <w:t xml:space="preserve">positioning chips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subfoveally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is safe and the multicenter part of the study has been started in Oxford, London,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Hongkong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and Budapest.</w:t>
      </w:r>
    </w:p>
    <w:p w:rsidR="00581305" w:rsidRPr="00581305" w:rsidRDefault="00581305" w:rsidP="00581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</w:p>
    <w:p w:rsidR="00581305" w:rsidRPr="00581305" w:rsidRDefault="00581305" w:rsidP="00581305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Author Financial Disclosure Information: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Eberhart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581305">
        <w:rPr>
          <w:rFonts w:ascii="Arial" w:hAnsi="Arial" w:cs="Arial"/>
          <w:color w:val="000000"/>
          <w:sz w:val="24"/>
          <w:szCs w:val="24"/>
          <w:lang w:val="en-US"/>
        </w:rPr>
        <w:t>Zrenner</w:t>
      </w:r>
      <w:proofErr w:type="spellEnd"/>
      <w:r w:rsidRPr="00581305">
        <w:rPr>
          <w:rFonts w:ascii="Arial" w:hAnsi="Arial" w:cs="Arial"/>
          <w:color w:val="000000"/>
          <w:sz w:val="24"/>
          <w:szCs w:val="24"/>
          <w:lang w:val="en-US"/>
        </w:rPr>
        <w:t xml:space="preserve">, Support by Retina Implant AG. </w:t>
      </w:r>
    </w:p>
    <w:p w:rsidR="00526012" w:rsidRPr="00581305" w:rsidRDefault="00526012" w:rsidP="00581305">
      <w:pPr>
        <w:jc w:val="both"/>
        <w:rPr>
          <w:lang w:val="en-US"/>
        </w:rPr>
      </w:pPr>
    </w:p>
    <w:sectPr w:rsidR="00526012" w:rsidRPr="00581305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05"/>
    <w:rsid w:val="00526012"/>
    <w:rsid w:val="00581305"/>
    <w:rsid w:val="00633897"/>
    <w:rsid w:val="00642A97"/>
    <w:rsid w:val="00B52193"/>
    <w:rsid w:val="00F8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1305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813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semiHidden/>
    <w:unhideWhenUsed/>
    <w:rsid w:val="00581305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1305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813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semiHidden/>
    <w:unhideWhenUsed/>
    <w:rsid w:val="0058130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spb.royalsocietypublishing.org/content/early/2010/11/01/rspb.2010.17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2</cp:revision>
  <dcterms:created xsi:type="dcterms:W3CDTF">2012-07-04T07:07:00Z</dcterms:created>
  <dcterms:modified xsi:type="dcterms:W3CDTF">2012-07-04T07:10:00Z</dcterms:modified>
</cp:coreProperties>
</file>